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Hudiksvall kommunfullmäktige</w:t>
      </w:r>
    </w:p>
    <w:p>
      <w:pPr>
        <w:pStyle w:val="Heading1"/>
      </w:pPr>
      <w:r>
        <w:t xml:space="preserve">Praktikplatser kopplat till lokala industrier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Hudiksvall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ligger på 9,2 % (Arbetsförmedlingen 2025). Samverkan med Iggesund Paperboard och andra företag kan ge fler vägar till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Hudiksvall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arbetsmarknadsenheten att teckna avtal med minst fem lokala företag om 50 praktikplatser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vuxenutbildningen anpassas efter industrins behov.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kommunal medfinansiering avsätts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antalet övergångar till anställning redovisas årligen.</w:t>
      </w:r>
    </w:p>
    <w:p>
      <w:pPr>
        <w:spacing w:before="360"/>
      </w:pPr>
    </w:p>
    <w:p>
      <w:r>
        <w:t xml:space="preserve">Hudiksvall,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Hudiksvall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2026-07-14T00:13:28.877Z</dcterms:created>
  <dcterms:modified xsi:type="dcterms:W3CDTF">2026-07-14T00:13:28.877Z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